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C302B" w14:textId="650610F5" w:rsidR="00874286" w:rsidRPr="001855AB" w:rsidRDefault="00354234" w:rsidP="00A7523B">
      <w:pPr>
        <w:pStyle w:val="NoSpacing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Quantum Model</w:t>
      </w:r>
      <w:r w:rsidR="003C1075">
        <w:rPr>
          <w:b/>
          <w:sz w:val="48"/>
          <w:szCs w:val="48"/>
          <w:u w:val="single"/>
        </w:rPr>
        <w:t xml:space="preserve"> (</w:t>
      </w:r>
      <w:r w:rsidR="00FB297B">
        <w:rPr>
          <w:b/>
          <w:sz w:val="48"/>
          <w:szCs w:val="48"/>
          <w:u w:val="single"/>
        </w:rPr>
        <w:t>Drude</w:t>
      </w:r>
      <w:r w:rsidR="003C1075">
        <w:rPr>
          <w:b/>
          <w:sz w:val="48"/>
          <w:szCs w:val="48"/>
          <w:u w:val="single"/>
        </w:rPr>
        <w:t>)</w:t>
      </w:r>
    </w:p>
    <w:p w14:paraId="6C2A9239" w14:textId="66F463E5" w:rsidR="00A7523B" w:rsidRDefault="00A7523B" w:rsidP="00A7523B">
      <w:pPr>
        <w:pStyle w:val="NoSpacing"/>
      </w:pPr>
    </w:p>
    <w:p w14:paraId="27C969C5" w14:textId="77777777" w:rsidR="0012595D" w:rsidRDefault="0012595D" w:rsidP="00255BF4">
      <w:pPr>
        <w:pStyle w:val="NoSpacing"/>
        <w:rPr>
          <w:sz w:val="24"/>
          <w:szCs w:val="24"/>
        </w:rPr>
      </w:pPr>
    </w:p>
    <w:p w14:paraId="73CEC78B" w14:textId="041153D3" w:rsidR="00255BF4" w:rsidRDefault="004A1EDA" w:rsidP="00255BF4">
      <w:pPr>
        <w:pStyle w:val="NoSpacing"/>
        <w:rPr>
          <w:sz w:val="24"/>
          <w:szCs w:val="24"/>
        </w:rPr>
      </w:pPr>
      <w:r w:rsidRPr="001855AB">
        <w:rPr>
          <w:sz w:val="24"/>
          <w:szCs w:val="24"/>
        </w:rPr>
        <w:t xml:space="preserve">Diffusion, being a transport property, can be expected to evince the transition from delocalization to localization more transparently.  </w:t>
      </w:r>
    </w:p>
    <w:p w14:paraId="79334AE2" w14:textId="77777777" w:rsidR="00A41F4D" w:rsidRPr="00A41F4D" w:rsidRDefault="00A41F4D" w:rsidP="00255BF4">
      <w:pPr>
        <w:pStyle w:val="NoSpacing"/>
        <w:rPr>
          <w:sz w:val="24"/>
          <w:szCs w:val="24"/>
        </w:rPr>
      </w:pPr>
    </w:p>
    <w:p w14:paraId="2F1E1962" w14:textId="35271A60" w:rsidR="00056277" w:rsidRPr="009644BE" w:rsidRDefault="001855AB" w:rsidP="0005627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sz w:val="22"/>
          <w:szCs w:val="22"/>
        </w:rPr>
      </w:pPr>
      <w:r w:rsidRPr="009644BE">
        <w:rPr>
          <w:rFonts w:ascii="Arial" w:eastAsiaTheme="minorEastAsia" w:hAnsi="Arial" w:cstheme="minorBidi"/>
          <w:b/>
          <w:bCs/>
          <w:color w:val="000000" w:themeColor="text1"/>
          <w:kern w:val="24"/>
          <w:sz w:val="28"/>
          <w:szCs w:val="28"/>
        </w:rPr>
        <w:t>Quantum Model</w:t>
      </w:r>
      <w:r w:rsidR="009644BE" w:rsidRPr="009644BE">
        <w:rPr>
          <w:rFonts w:ascii="Arial" w:eastAsiaTheme="minorEastAsia" w:hAnsi="Arial" w:cstheme="minorBidi"/>
          <w:b/>
          <w:bCs/>
          <w:color w:val="000000" w:themeColor="text1"/>
          <w:kern w:val="24"/>
          <w:sz w:val="28"/>
          <w:szCs w:val="28"/>
        </w:rPr>
        <w:t>: Diagrammatic Expansion</w:t>
      </w:r>
    </w:p>
    <w:p w14:paraId="59E1BA24" w14:textId="54B2A50A" w:rsidR="001855AB" w:rsidRPr="001855AB" w:rsidRDefault="001855AB" w:rsidP="0005627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="Calibri" w:cstheme="minorBidi"/>
          <w:color w:val="000000" w:themeColor="text1"/>
          <w:kern w:val="24"/>
          <w:sz w:val="22"/>
          <w:szCs w:val="22"/>
        </w:rPr>
      </w:pPr>
      <w:r w:rsidRPr="001855AB">
        <w:rPr>
          <w:rFonts w:asciiTheme="minorHAnsi" w:eastAsiaTheme="minorEastAsia" w:hAnsi="Calibri" w:cstheme="minorBidi"/>
          <w:color w:val="000000" w:themeColor="text1"/>
          <w:kern w:val="24"/>
        </w:rPr>
        <w:t xml:space="preserve">A classical particle would be completely localized if its energy were less than the peak of any of the disordered wells.  The quantum case is more complicated.  A particle could be localized even if its energy were greater than any of the wells, if repeated reflections were to somehow constructively interfere to create a local standing wave.  And yet a particle even with energy lower than many of those wells could be extended via tunneling (and in a perfectly ordered lattice, the wavefunctions </w:t>
      </w:r>
      <w:r w:rsidRPr="001855AB">
        <w:rPr>
          <w:rFonts w:asciiTheme="minorHAnsi" w:eastAsiaTheme="minorEastAsia" w:hAnsi="Calibri" w:cstheme="minorBidi"/>
          <w:i/>
          <w:iCs/>
          <w:color w:val="000000" w:themeColor="text1"/>
          <w:kern w:val="24"/>
        </w:rPr>
        <w:t>will</w:t>
      </w:r>
      <w:r w:rsidRPr="001855AB">
        <w:rPr>
          <w:rFonts w:asciiTheme="minorHAnsi" w:eastAsiaTheme="minorEastAsia" w:hAnsi="Calibri" w:cstheme="minorBidi"/>
          <w:color w:val="000000" w:themeColor="text1"/>
          <w:kern w:val="24"/>
        </w:rPr>
        <w:t xml:space="preserve"> be extended).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  Still, it seems quantum particles are more easily localized than classical ones.  </w:t>
      </w:r>
    </w:p>
    <w:p w14:paraId="262406F0" w14:textId="77777777" w:rsidR="001855AB" w:rsidRDefault="001855AB" w:rsidP="0005627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="Calibri" w:cstheme="minorBidi"/>
          <w:color w:val="000000" w:themeColor="text1"/>
          <w:kern w:val="24"/>
        </w:rPr>
      </w:pPr>
    </w:p>
    <w:p w14:paraId="30C09693" w14:textId="1BA7C759" w:rsidR="00056277" w:rsidRPr="00056277" w:rsidRDefault="00056277" w:rsidP="0005627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sz w:val="22"/>
          <w:szCs w:val="22"/>
        </w:rPr>
      </w:pPr>
      <w:r w:rsidRPr="00056277">
        <w:rPr>
          <w:rFonts w:asciiTheme="minorHAnsi" w:hAnsi="Calibri" w:cstheme="minorBidi"/>
          <w:color w:val="000000" w:themeColor="text1"/>
          <w:kern w:val="24"/>
        </w:rPr>
        <w:t>We can calculate the diffusion coefficient, with the usual Boltzman equation, but I haven’t done this.  And we can also do this with GF.  The one of interest would be the density-density correlation function, displayed below:</w:t>
      </w:r>
    </w:p>
    <w:p w14:paraId="7F03AA09" w14:textId="675D544D" w:rsidR="00056277" w:rsidRDefault="00056277" w:rsidP="00255BF4">
      <w:pPr>
        <w:pStyle w:val="NoSpacing"/>
      </w:pPr>
    </w:p>
    <w:p w14:paraId="0277F215" w14:textId="79007000" w:rsidR="00056277" w:rsidRDefault="0012595D" w:rsidP="00255BF4">
      <w:pPr>
        <w:pStyle w:val="NoSpacing"/>
      </w:pPr>
      <w:r w:rsidRPr="001855AB">
        <w:rPr>
          <w:position w:val="-14"/>
        </w:rPr>
        <w:object w:dxaOrig="3800" w:dyaOrig="400" w14:anchorId="02A2D0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8pt;height:20.2pt" o:ole="">
            <v:imagedata r:id="rId4" o:title=""/>
          </v:shape>
          <o:OLEObject Type="Embed" ProgID="Equation.DSMT4" ShapeID="_x0000_i1025" DrawAspect="Content" ObjectID="_1797879995" r:id="rId5"/>
        </w:object>
      </w:r>
    </w:p>
    <w:p w14:paraId="19CB375A" w14:textId="241725A1" w:rsidR="001855AB" w:rsidRPr="001855AB" w:rsidRDefault="001855AB" w:rsidP="00255BF4">
      <w:pPr>
        <w:pStyle w:val="NoSpacing"/>
        <w:rPr>
          <w:sz w:val="24"/>
          <w:szCs w:val="24"/>
        </w:rPr>
      </w:pPr>
    </w:p>
    <w:p w14:paraId="53C30865" w14:textId="15693645" w:rsidR="00847770" w:rsidRDefault="00CA3817" w:rsidP="00255B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</w:rPr>
        <w:t xml:space="preserve">(r) = </w:t>
      </w:r>
      <w:r>
        <w:rPr>
          <w:rFonts w:ascii="Calibri" w:hAnsi="Calibri" w:cs="Calibri"/>
          <w:sz w:val="24"/>
          <w:szCs w:val="24"/>
        </w:rPr>
        <w:t>ψ</w:t>
      </w:r>
      <w:r>
        <w:rPr>
          <w:rFonts w:ascii="Calibri" w:hAnsi="Calibri" w:cs="Calibri"/>
          <w:sz w:val="24"/>
          <w:szCs w:val="24"/>
          <w:vertAlign w:val="superscript"/>
        </w:rPr>
        <w:t>†</w:t>
      </w:r>
      <w:r>
        <w:rPr>
          <w:rFonts w:ascii="Calibri" w:hAnsi="Calibri" w:cs="Calibri"/>
          <w:sz w:val="24"/>
          <w:szCs w:val="24"/>
        </w:rPr>
        <w:t xml:space="preserve">(r)ψ(r). </w:t>
      </w:r>
      <w:r>
        <w:rPr>
          <w:sz w:val="24"/>
          <w:szCs w:val="24"/>
        </w:rPr>
        <w:t xml:space="preserve"> </w:t>
      </w:r>
      <w:r w:rsidR="00023DAE">
        <w:rPr>
          <w:sz w:val="24"/>
          <w:szCs w:val="24"/>
        </w:rPr>
        <w:t xml:space="preserve">It can be related to the </w:t>
      </w:r>
      <w:r w:rsidR="001855AB">
        <w:rPr>
          <w:sz w:val="24"/>
          <w:szCs w:val="24"/>
        </w:rPr>
        <w:t xml:space="preserve">diffusion </w:t>
      </w:r>
      <w:r w:rsidR="00AE4212">
        <w:rPr>
          <w:sz w:val="24"/>
          <w:szCs w:val="24"/>
        </w:rPr>
        <w:t>‘</w:t>
      </w:r>
      <w:r w:rsidR="001855AB">
        <w:rPr>
          <w:sz w:val="24"/>
          <w:szCs w:val="24"/>
        </w:rPr>
        <w:t>constant</w:t>
      </w:r>
      <w:r w:rsidR="00AE4212">
        <w:rPr>
          <w:sz w:val="24"/>
          <w:szCs w:val="24"/>
        </w:rPr>
        <w:t>’, D(q,</w:t>
      </w:r>
      <w:r w:rsidR="00AE4212">
        <w:rPr>
          <w:rFonts w:ascii="Calibri" w:hAnsi="Calibri" w:cs="Calibri"/>
          <w:sz w:val="24"/>
          <w:szCs w:val="24"/>
        </w:rPr>
        <w:t>ω</w:t>
      </w:r>
      <w:r w:rsidR="00AE4212">
        <w:rPr>
          <w:sz w:val="24"/>
          <w:szCs w:val="24"/>
        </w:rPr>
        <w:t xml:space="preserve">).  </w:t>
      </w:r>
      <w:r w:rsidR="006D530B">
        <w:rPr>
          <w:sz w:val="24"/>
          <w:szCs w:val="24"/>
        </w:rPr>
        <w:t>The Fourier transform of the correlation function is related to the diffusion coefficient.  Turns out (at T = 0 ?),</w:t>
      </w:r>
    </w:p>
    <w:p w14:paraId="3A6C7986" w14:textId="77777777" w:rsidR="006D530B" w:rsidRDefault="006D530B" w:rsidP="00255BF4">
      <w:pPr>
        <w:pStyle w:val="NoSpacing"/>
        <w:rPr>
          <w:sz w:val="24"/>
          <w:szCs w:val="24"/>
        </w:rPr>
      </w:pPr>
    </w:p>
    <w:p w14:paraId="3F935ED0" w14:textId="6621EC1A" w:rsidR="00847770" w:rsidRDefault="0012595D" w:rsidP="00255BF4">
      <w:pPr>
        <w:pStyle w:val="NoSpacing"/>
      </w:pPr>
      <w:r w:rsidRPr="006D530B">
        <w:rPr>
          <w:position w:val="-28"/>
        </w:rPr>
        <w:object w:dxaOrig="2940" w:dyaOrig="700" w14:anchorId="3FE283A6">
          <v:shape id="_x0000_i1026" type="#_x0000_t75" style="width:147.25pt;height:34.9pt" o:ole="" filled="t" fillcolor="#cfc">
            <v:imagedata r:id="rId6" o:title=""/>
          </v:shape>
          <o:OLEObject Type="Embed" ProgID="Equation.DSMT4" ShapeID="_x0000_i1026" DrawAspect="Content" ObjectID="_1797879996" r:id="rId7"/>
        </w:object>
      </w:r>
    </w:p>
    <w:p w14:paraId="422CCEB2" w14:textId="77777777" w:rsidR="00BD0808" w:rsidRDefault="00BD0808" w:rsidP="00255BF4">
      <w:pPr>
        <w:pStyle w:val="NoSpacing"/>
        <w:rPr>
          <w:color w:val="FF0000"/>
        </w:rPr>
      </w:pPr>
    </w:p>
    <w:p w14:paraId="6EAC41D1" w14:textId="3FF276C8" w:rsidR="00847770" w:rsidRDefault="006D530B" w:rsidP="0084777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don’t know how to prove this statement, but we can at least see that some of our prior results are consistent with it.  </w:t>
      </w:r>
      <w:r w:rsidR="0027436B">
        <w:rPr>
          <w:sz w:val="24"/>
          <w:szCs w:val="24"/>
        </w:rPr>
        <w:t xml:space="preserve">In the EM folder, for instance, when working out the properties of metals, we found an expression for </w:t>
      </w:r>
      <w:r w:rsidR="0027436B">
        <w:rPr>
          <w:rFonts w:ascii="Calibri" w:hAnsi="Calibri" w:cs="Calibri"/>
          <w:sz w:val="24"/>
          <w:szCs w:val="24"/>
        </w:rPr>
        <w:t>χ</w:t>
      </w:r>
      <w:r w:rsidR="0027436B">
        <w:rPr>
          <w:sz w:val="24"/>
          <w:szCs w:val="24"/>
          <w:vertAlign w:val="subscript"/>
        </w:rPr>
        <w:t>irr</w:t>
      </w:r>
      <w:r w:rsidR="0027436B">
        <w:rPr>
          <w:sz w:val="24"/>
          <w:szCs w:val="24"/>
        </w:rPr>
        <w:t>(q,</w:t>
      </w:r>
      <w:r w:rsidR="0027436B">
        <w:rPr>
          <w:rFonts w:ascii="Calibri" w:hAnsi="Calibri" w:cs="Calibri"/>
          <w:sz w:val="24"/>
          <w:szCs w:val="24"/>
        </w:rPr>
        <w:t>ω</w:t>
      </w:r>
      <w:r w:rsidR="0027436B">
        <w:rPr>
          <w:sz w:val="24"/>
          <w:szCs w:val="24"/>
        </w:rPr>
        <w:t xml:space="preserve">) </w:t>
      </w:r>
      <w:r w:rsidR="007A7609">
        <w:rPr>
          <w:sz w:val="24"/>
          <w:szCs w:val="24"/>
        </w:rPr>
        <w:t xml:space="preserve">= </w:t>
      </w:r>
      <w:r w:rsidR="007A7609">
        <w:rPr>
          <w:rFonts w:ascii="Calibri" w:hAnsi="Calibri" w:cs="Calibri"/>
          <w:sz w:val="24"/>
          <w:szCs w:val="24"/>
        </w:rPr>
        <w:t>χ</w:t>
      </w:r>
      <w:r w:rsidR="007A7609">
        <w:rPr>
          <w:sz w:val="24"/>
          <w:szCs w:val="24"/>
        </w:rPr>
        <w:t>(q,</w:t>
      </w:r>
      <w:r w:rsidR="007A7609">
        <w:rPr>
          <w:rFonts w:ascii="Calibri" w:hAnsi="Calibri" w:cs="Calibri"/>
          <w:sz w:val="24"/>
          <w:szCs w:val="24"/>
        </w:rPr>
        <w:t>ω</w:t>
      </w:r>
      <w:r w:rsidR="007A7609">
        <w:rPr>
          <w:sz w:val="24"/>
          <w:szCs w:val="24"/>
        </w:rPr>
        <w:t xml:space="preserve">) </w:t>
      </w:r>
      <w:r w:rsidR="0027436B">
        <w:rPr>
          <w:sz w:val="24"/>
          <w:szCs w:val="24"/>
        </w:rPr>
        <w:t>= e</w:t>
      </w:r>
      <w:r w:rsidR="0027436B">
        <w:rPr>
          <w:sz w:val="24"/>
          <w:szCs w:val="24"/>
          <w:vertAlign w:val="superscript"/>
        </w:rPr>
        <w:t>2</w:t>
      </w:r>
      <w:r w:rsidR="0027436B">
        <w:rPr>
          <w:rFonts w:ascii="Calibri" w:hAnsi="Calibri" w:cs="Calibri"/>
          <w:sz w:val="24"/>
          <w:szCs w:val="24"/>
        </w:rPr>
        <w:t>Π</w:t>
      </w:r>
      <w:r w:rsidR="0027436B">
        <w:rPr>
          <w:sz w:val="24"/>
          <w:szCs w:val="24"/>
          <w:vertAlign w:val="superscript"/>
        </w:rPr>
        <w:t>R</w:t>
      </w:r>
      <w:r w:rsidR="0027436B">
        <w:rPr>
          <w:sz w:val="24"/>
          <w:szCs w:val="24"/>
        </w:rPr>
        <w:t>(q,</w:t>
      </w:r>
      <w:r w:rsidR="0027436B">
        <w:rPr>
          <w:rFonts w:ascii="Calibri" w:hAnsi="Calibri" w:cs="Calibri"/>
          <w:sz w:val="24"/>
          <w:szCs w:val="24"/>
        </w:rPr>
        <w:t>ω</w:t>
      </w:r>
      <w:r w:rsidR="0027436B">
        <w:rPr>
          <w:sz w:val="24"/>
          <w:szCs w:val="24"/>
        </w:rPr>
        <w:t>)</w:t>
      </w:r>
      <w:r w:rsidR="007A7609">
        <w:rPr>
          <w:sz w:val="24"/>
          <w:szCs w:val="24"/>
        </w:rPr>
        <w:t xml:space="preserve"> [note that in so far as we’re presently dealing with non-interacting electrons, </w:t>
      </w:r>
      <w:r w:rsidR="007A7609">
        <w:rPr>
          <w:rFonts w:ascii="Calibri" w:hAnsi="Calibri" w:cs="Calibri"/>
          <w:sz w:val="24"/>
          <w:szCs w:val="24"/>
        </w:rPr>
        <w:t>χ</w:t>
      </w:r>
      <w:r w:rsidR="007A7609">
        <w:rPr>
          <w:sz w:val="24"/>
          <w:szCs w:val="24"/>
          <w:vertAlign w:val="subscript"/>
        </w:rPr>
        <w:t>irr</w:t>
      </w:r>
      <w:r w:rsidR="007A7609">
        <w:rPr>
          <w:sz w:val="24"/>
          <w:szCs w:val="24"/>
        </w:rPr>
        <w:t>(q,</w:t>
      </w:r>
      <w:r w:rsidR="007A7609">
        <w:rPr>
          <w:rFonts w:ascii="Calibri" w:hAnsi="Calibri" w:cs="Calibri"/>
          <w:sz w:val="24"/>
          <w:szCs w:val="24"/>
        </w:rPr>
        <w:t>ω</w:t>
      </w:r>
      <w:r w:rsidR="007A7609">
        <w:rPr>
          <w:sz w:val="24"/>
          <w:szCs w:val="24"/>
        </w:rPr>
        <w:t xml:space="preserve">) = </w:t>
      </w:r>
      <w:r w:rsidR="007A7609">
        <w:rPr>
          <w:rFonts w:ascii="Calibri" w:hAnsi="Calibri" w:cs="Calibri"/>
          <w:sz w:val="24"/>
          <w:szCs w:val="24"/>
        </w:rPr>
        <w:t>χ</w:t>
      </w:r>
      <w:r w:rsidR="007A7609">
        <w:rPr>
          <w:sz w:val="24"/>
          <w:szCs w:val="24"/>
        </w:rPr>
        <w:t>(q,</w:t>
      </w:r>
      <w:r w:rsidR="007A7609">
        <w:rPr>
          <w:rFonts w:ascii="Calibri" w:hAnsi="Calibri" w:cs="Calibri"/>
          <w:sz w:val="24"/>
          <w:szCs w:val="24"/>
        </w:rPr>
        <w:t>ω</w:t>
      </w:r>
      <w:r w:rsidR="007A7609">
        <w:rPr>
          <w:sz w:val="24"/>
          <w:szCs w:val="24"/>
        </w:rPr>
        <w:t>)]</w:t>
      </w:r>
      <w:r w:rsidR="0027436B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1B0DDF5A" w14:textId="77777777" w:rsidR="00847770" w:rsidRDefault="00847770" w:rsidP="00491EDD">
      <w:pPr>
        <w:pStyle w:val="NoSpacing"/>
        <w:rPr>
          <w:color w:val="FF0000"/>
        </w:rPr>
      </w:pPr>
    </w:p>
    <w:p w14:paraId="3C211A25" w14:textId="37669F84" w:rsidR="00491EDD" w:rsidRDefault="0027436B" w:rsidP="00491EDD">
      <w:pPr>
        <w:pStyle w:val="NoSpacing"/>
        <w:rPr>
          <w:color w:val="FF0000"/>
        </w:rPr>
      </w:pPr>
      <w:r w:rsidRPr="00E86A2F">
        <w:rPr>
          <w:position w:val="-30"/>
        </w:rPr>
        <w:object w:dxaOrig="3159" w:dyaOrig="720" w14:anchorId="31B81FB5">
          <v:shape id="_x0000_i1027" type="#_x0000_t75" style="width:158.2pt;height:36pt" o:ole="">
            <v:imagedata r:id="rId8" o:title=""/>
          </v:shape>
          <o:OLEObject Type="Embed" ProgID="Equation.DSMT4" ShapeID="_x0000_i1027" DrawAspect="Content" ObjectID="_1797879997" r:id="rId9"/>
        </w:object>
      </w:r>
    </w:p>
    <w:p w14:paraId="10641ACE" w14:textId="77777777" w:rsidR="00847770" w:rsidRPr="0027436B" w:rsidRDefault="00847770" w:rsidP="00491EDD">
      <w:pPr>
        <w:pStyle w:val="NoSpacing"/>
      </w:pPr>
    </w:p>
    <w:p w14:paraId="7A665469" w14:textId="772D91E5" w:rsidR="00491EDD" w:rsidRPr="007977C2" w:rsidRDefault="0027436B" w:rsidP="00491EDD">
      <w:pPr>
        <w:pStyle w:val="NoSpacing"/>
        <w:rPr>
          <w:sz w:val="24"/>
          <w:szCs w:val="24"/>
        </w:rPr>
      </w:pPr>
      <w:r w:rsidRPr="007977C2">
        <w:rPr>
          <w:sz w:val="24"/>
          <w:szCs w:val="24"/>
        </w:rPr>
        <w:t xml:space="preserve">In our typical units we have </w:t>
      </w:r>
      <w:r w:rsidRPr="007977C2">
        <w:rPr>
          <w:rFonts w:ascii="Calibri" w:hAnsi="Calibri" w:cs="Calibri"/>
          <w:sz w:val="24"/>
          <w:szCs w:val="24"/>
        </w:rPr>
        <w:t>ε</w:t>
      </w:r>
      <w:r w:rsidRPr="007977C2">
        <w:rPr>
          <w:sz w:val="24"/>
          <w:szCs w:val="24"/>
          <w:vertAlign w:val="subscript"/>
        </w:rPr>
        <w:t>0</w:t>
      </w:r>
      <w:r w:rsidRPr="007977C2">
        <w:rPr>
          <w:sz w:val="24"/>
          <w:szCs w:val="24"/>
        </w:rPr>
        <w:t xml:space="preserve"> </w:t>
      </w:r>
      <w:r w:rsidRPr="007977C2">
        <w:rPr>
          <w:sz w:val="24"/>
          <w:szCs w:val="24"/>
        </w:rPr>
        <w:sym w:font="Wingdings" w:char="F0E0"/>
      </w:r>
      <w:r w:rsidRPr="007977C2">
        <w:rPr>
          <w:sz w:val="24"/>
          <w:szCs w:val="24"/>
        </w:rPr>
        <w:t xml:space="preserve"> 1, so:</w:t>
      </w:r>
    </w:p>
    <w:p w14:paraId="2070D69B" w14:textId="77777777" w:rsidR="0027436B" w:rsidRPr="007977C2" w:rsidRDefault="0027436B" w:rsidP="00491EDD">
      <w:pPr>
        <w:pStyle w:val="NoSpacing"/>
        <w:rPr>
          <w:sz w:val="24"/>
          <w:szCs w:val="24"/>
        </w:rPr>
      </w:pPr>
    </w:p>
    <w:p w14:paraId="4E27253B" w14:textId="243ED9B5" w:rsidR="0027436B" w:rsidRPr="007977C2" w:rsidRDefault="0027436B" w:rsidP="00491EDD">
      <w:pPr>
        <w:pStyle w:val="NoSpacing"/>
        <w:rPr>
          <w:sz w:val="24"/>
          <w:szCs w:val="24"/>
        </w:rPr>
      </w:pPr>
      <w:r w:rsidRPr="007977C2">
        <w:rPr>
          <w:position w:val="-28"/>
          <w:sz w:val="24"/>
          <w:szCs w:val="24"/>
        </w:rPr>
        <w:object w:dxaOrig="2880" w:dyaOrig="700" w14:anchorId="4ECC1F76">
          <v:shape id="_x0000_i1028" type="#_x0000_t75" style="width:2in;height:34.9pt" o:ole="">
            <v:imagedata r:id="rId10" o:title=""/>
          </v:shape>
          <o:OLEObject Type="Embed" ProgID="Equation.DSMT4" ShapeID="_x0000_i1028" DrawAspect="Content" ObjectID="_1797879998" r:id="rId11"/>
        </w:object>
      </w:r>
    </w:p>
    <w:p w14:paraId="15C75D7D" w14:textId="77777777" w:rsidR="0027436B" w:rsidRPr="007977C2" w:rsidRDefault="0027436B" w:rsidP="00491EDD">
      <w:pPr>
        <w:pStyle w:val="NoSpacing"/>
        <w:rPr>
          <w:sz w:val="24"/>
          <w:szCs w:val="24"/>
        </w:rPr>
      </w:pPr>
    </w:p>
    <w:p w14:paraId="10FDBC3F" w14:textId="242FE94F" w:rsidR="0027436B" w:rsidRPr="007977C2" w:rsidRDefault="0027436B" w:rsidP="00491EDD">
      <w:pPr>
        <w:pStyle w:val="NoSpacing"/>
        <w:rPr>
          <w:sz w:val="24"/>
          <w:szCs w:val="24"/>
        </w:rPr>
      </w:pPr>
      <w:r w:rsidRPr="007977C2">
        <w:rPr>
          <w:sz w:val="24"/>
          <w:szCs w:val="24"/>
        </w:rPr>
        <w:lastRenderedPageBreak/>
        <w:t>We also found:</w:t>
      </w:r>
    </w:p>
    <w:p w14:paraId="3C6F25B8" w14:textId="77777777" w:rsidR="0027436B" w:rsidRPr="007977C2" w:rsidRDefault="0027436B" w:rsidP="00491EDD">
      <w:pPr>
        <w:pStyle w:val="NoSpacing"/>
        <w:rPr>
          <w:sz w:val="24"/>
          <w:szCs w:val="24"/>
        </w:rPr>
      </w:pPr>
    </w:p>
    <w:p w14:paraId="15DACF98" w14:textId="53EE1CCE" w:rsidR="0027436B" w:rsidRPr="007977C2" w:rsidRDefault="0027436B" w:rsidP="00491EDD">
      <w:pPr>
        <w:pStyle w:val="NoSpacing"/>
        <w:rPr>
          <w:sz w:val="24"/>
          <w:szCs w:val="24"/>
        </w:rPr>
      </w:pPr>
      <w:r w:rsidRPr="007977C2">
        <w:rPr>
          <w:position w:val="-24"/>
          <w:sz w:val="24"/>
          <w:szCs w:val="24"/>
        </w:rPr>
        <w:object w:dxaOrig="1719" w:dyaOrig="620" w14:anchorId="2A0C35C0">
          <v:shape id="_x0000_i1029" type="#_x0000_t75" style="width:86.2pt;height:31.1pt" o:ole="">
            <v:imagedata r:id="rId12" o:title=""/>
          </v:shape>
          <o:OLEObject Type="Embed" ProgID="Equation.DSMT4" ShapeID="_x0000_i1029" DrawAspect="Content" ObjectID="_1797879999" r:id="rId13"/>
        </w:object>
      </w:r>
    </w:p>
    <w:p w14:paraId="2D960E06" w14:textId="77777777" w:rsidR="0027436B" w:rsidRPr="007977C2" w:rsidRDefault="0027436B" w:rsidP="00491EDD">
      <w:pPr>
        <w:pStyle w:val="NoSpacing"/>
        <w:rPr>
          <w:sz w:val="24"/>
          <w:szCs w:val="24"/>
        </w:rPr>
      </w:pPr>
    </w:p>
    <w:p w14:paraId="0EE89E7D" w14:textId="4FD1BEEB" w:rsidR="0027436B" w:rsidRPr="007977C2" w:rsidRDefault="0027436B" w:rsidP="00491EDD">
      <w:pPr>
        <w:pStyle w:val="NoSpacing"/>
        <w:rPr>
          <w:sz w:val="24"/>
          <w:szCs w:val="24"/>
        </w:rPr>
      </w:pPr>
      <w:r w:rsidRPr="007977C2">
        <w:rPr>
          <w:sz w:val="24"/>
          <w:szCs w:val="24"/>
        </w:rPr>
        <w:t>And we can relate these two:</w:t>
      </w:r>
    </w:p>
    <w:p w14:paraId="2428704D" w14:textId="77777777" w:rsidR="0027436B" w:rsidRPr="0027436B" w:rsidRDefault="0027436B" w:rsidP="00491EDD">
      <w:pPr>
        <w:pStyle w:val="NoSpacing"/>
      </w:pPr>
    </w:p>
    <w:p w14:paraId="3D9FE852" w14:textId="62375587" w:rsidR="0027436B" w:rsidRPr="0027436B" w:rsidRDefault="0012595D" w:rsidP="00491EDD">
      <w:pPr>
        <w:pStyle w:val="NoSpacing"/>
      </w:pPr>
      <w:r w:rsidRPr="0027436B">
        <w:rPr>
          <w:position w:val="-28"/>
        </w:rPr>
        <w:object w:dxaOrig="7000" w:dyaOrig="700" w14:anchorId="3AA06675">
          <v:shape id="_x0000_i1030" type="#_x0000_t75" style="width:350.2pt;height:34.9pt" o:ole="">
            <v:imagedata r:id="rId14" o:title=""/>
          </v:shape>
          <o:OLEObject Type="Embed" ProgID="Equation.DSMT4" ShapeID="_x0000_i1030" DrawAspect="Content" ObjectID="_1797880000" r:id="rId15"/>
        </w:object>
      </w:r>
    </w:p>
    <w:p w14:paraId="20D89AE7" w14:textId="77777777" w:rsidR="00847770" w:rsidRPr="0027436B" w:rsidRDefault="00847770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kern w:val="24"/>
        </w:rPr>
      </w:pPr>
    </w:p>
    <w:p w14:paraId="617B5447" w14:textId="20D5AA49" w:rsidR="00AE4212" w:rsidRDefault="0027436B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  <w:r>
        <w:rPr>
          <w:rFonts w:asciiTheme="minorHAnsi" w:hAnsi="Calibri" w:cstheme="minorBidi"/>
          <w:color w:val="000000" w:themeColor="text1"/>
          <w:kern w:val="24"/>
        </w:rPr>
        <w:t xml:space="preserve">which is in accordance with the formula. </w:t>
      </w:r>
      <w:r w:rsidR="0012595D">
        <w:rPr>
          <w:rFonts w:asciiTheme="minorHAnsi" w:hAnsi="Calibri" w:cstheme="minorBidi"/>
          <w:color w:val="000000" w:themeColor="text1"/>
          <w:kern w:val="24"/>
        </w:rPr>
        <w:t xml:space="preserve"> 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>Note that the Wolfle paper says that D(</w:t>
      </w:r>
      <w:r w:rsidR="00056277"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ω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 xml:space="preserve">) and </w:t>
      </w:r>
      <w:r w:rsidR="00056277"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σ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>(</w:t>
      </w:r>
      <w:r w:rsidR="00056277"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ω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>) relate via D(0,</w:t>
      </w:r>
      <w:r w:rsidR="00056277"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ω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>)/</w:t>
      </w:r>
      <w:r w:rsidR="001855AB">
        <w:rPr>
          <w:rFonts w:asciiTheme="minorHAnsi" w:hAnsi="Calibri" w:cstheme="minorBidi"/>
          <w:color w:val="000000" w:themeColor="text1"/>
          <w:kern w:val="24"/>
        </w:rPr>
        <w:t>D</w:t>
      </w:r>
      <w:r w:rsidR="001855AB">
        <w:rPr>
          <w:rFonts w:asciiTheme="minorHAnsi" w:hAnsi="Calibri" w:cstheme="minorBidi"/>
          <w:color w:val="000000" w:themeColor="text1"/>
          <w:kern w:val="24"/>
          <w:vertAlign w:val="subscript"/>
        </w:rPr>
        <w:t>0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 xml:space="preserve"> = </w:t>
      </w:r>
      <w:r w:rsidR="00056277"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σ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>(0,</w:t>
      </w:r>
      <w:r w:rsidR="00056277"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ω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>)/</w:t>
      </w:r>
      <w:r w:rsidR="001855AB">
        <w:rPr>
          <w:rFonts w:ascii="Calibri" w:hAnsi="Calibri" w:cs="Calibri"/>
          <w:color w:val="000000" w:themeColor="text1"/>
          <w:kern w:val="24"/>
          <w:lang w:val="el-GR"/>
        </w:rPr>
        <w:t>σ</w:t>
      </w:r>
      <w:r w:rsidR="001855AB">
        <w:rPr>
          <w:rFonts w:asciiTheme="minorHAnsi" w:hAnsi="Calibri" w:cstheme="minorBidi"/>
          <w:color w:val="000000" w:themeColor="text1"/>
          <w:kern w:val="24"/>
          <w:vertAlign w:val="subscript"/>
        </w:rPr>
        <w:t>0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, where the </w:t>
      </w:r>
      <w:r w:rsidR="00AE4212">
        <w:rPr>
          <w:rFonts w:asciiTheme="minorHAnsi" w:hAnsi="Calibri" w:cstheme="minorBidi"/>
          <w:color w:val="000000" w:themeColor="text1"/>
          <w:kern w:val="24"/>
          <w:vertAlign w:val="subscript"/>
        </w:rPr>
        <w:t>0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 presumably refers to </w:t>
      </w:r>
      <w:r w:rsidR="00AE4212">
        <w:rPr>
          <w:rFonts w:ascii="Calibri" w:hAnsi="Calibri" w:cs="Calibri"/>
          <w:color w:val="000000" w:themeColor="text1"/>
          <w:kern w:val="24"/>
        </w:rPr>
        <w:t>ω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 = 0.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 xml:space="preserve">  The particle’s diffusive behavior is embedded in the poles of </w:t>
      </w:r>
      <w:r>
        <w:rPr>
          <w:rFonts w:ascii="Calibri" w:hAnsi="Calibri" w:cs="Calibri"/>
          <w:color w:val="000000" w:themeColor="text1"/>
          <w:kern w:val="24"/>
          <w:lang w:val="el-GR"/>
        </w:rPr>
        <w:t>Π</w:t>
      </w:r>
      <w:r w:rsidR="00056277" w:rsidRPr="00056277">
        <w:rPr>
          <w:rFonts w:asciiTheme="minorHAnsi" w:hAnsi="Calibri" w:cstheme="minorBidi"/>
          <w:color w:val="000000" w:themeColor="text1"/>
          <w:kern w:val="24"/>
        </w:rPr>
        <w:t xml:space="preserve">.  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Let’s consider the long time (small </w:t>
      </w:r>
      <w:r w:rsidR="00AE4212">
        <w:rPr>
          <w:rFonts w:ascii="Calibri" w:hAnsi="Calibri" w:cs="Calibri"/>
          <w:color w:val="000000" w:themeColor="text1"/>
          <w:kern w:val="24"/>
        </w:rPr>
        <w:t>ω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) limit.  </w:t>
      </w:r>
    </w:p>
    <w:p w14:paraId="31FD768F" w14:textId="1B241702" w:rsidR="00AE4212" w:rsidRDefault="00AE4212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</w:p>
    <w:p w14:paraId="529358CE" w14:textId="24BF2370" w:rsidR="00AE4212" w:rsidRDefault="0027436B" w:rsidP="00AE4212">
      <w:pPr>
        <w:pStyle w:val="NormalWeb"/>
        <w:spacing w:before="0" w:beforeAutospacing="0" w:after="0" w:afterAutospacing="0"/>
      </w:pPr>
      <w:r w:rsidRPr="0027436B">
        <w:rPr>
          <w:position w:val="-28"/>
        </w:rPr>
        <w:object w:dxaOrig="3019" w:dyaOrig="700" w14:anchorId="79C2AFB3">
          <v:shape id="_x0000_i1031" type="#_x0000_t75" style="width:152.2pt;height:34.9pt" o:ole="">
            <v:imagedata r:id="rId16" o:title=""/>
          </v:shape>
          <o:OLEObject Type="Embed" ProgID="Equation.DSMT4" ShapeID="_x0000_i1031" DrawAspect="Content" ObjectID="_1797880001" r:id="rId17"/>
        </w:object>
      </w:r>
    </w:p>
    <w:p w14:paraId="640FEE02" w14:textId="522A9BF7" w:rsidR="00AE4212" w:rsidRPr="00AE4212" w:rsidRDefault="00AE4212" w:rsidP="00AE42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7AE3962" w14:textId="40E206C9" w:rsidR="00AE4212" w:rsidRPr="00AE4212" w:rsidRDefault="00AE4212" w:rsidP="00AE421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kern w:val="24"/>
        </w:rPr>
      </w:pPr>
      <w:r w:rsidRPr="00AE4212">
        <w:rPr>
          <w:rFonts w:asciiTheme="minorHAnsi" w:hAnsiTheme="minorHAnsi" w:cstheme="minorHAnsi"/>
        </w:rPr>
        <w:t>Assuming this limit exists, then let’s compare to:</w:t>
      </w:r>
    </w:p>
    <w:p w14:paraId="76685224" w14:textId="77777777" w:rsidR="00AE4212" w:rsidRDefault="00AE4212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</w:p>
    <w:p w14:paraId="5CF289C0" w14:textId="7C94E820" w:rsidR="00AE4212" w:rsidRDefault="00955FAD" w:rsidP="00AE4212">
      <w:pPr>
        <w:pStyle w:val="NormalWeb"/>
        <w:spacing w:before="0" w:beforeAutospacing="0" w:after="0" w:afterAutospacing="0"/>
      </w:pPr>
      <w:r w:rsidRPr="00955FAD">
        <w:rPr>
          <w:position w:val="-28"/>
        </w:rPr>
        <w:object w:dxaOrig="3260" w:dyaOrig="700" w14:anchorId="17C88234">
          <v:shape id="_x0000_i1032" type="#_x0000_t75" style="width:164.2pt;height:34.9pt" o:ole="">
            <v:imagedata r:id="rId18" o:title=""/>
          </v:shape>
          <o:OLEObject Type="Embed" ProgID="Equation.DSMT4" ShapeID="_x0000_i1032" DrawAspect="Content" ObjectID="_1797880002" r:id="rId19"/>
        </w:object>
      </w:r>
    </w:p>
    <w:p w14:paraId="7140D733" w14:textId="5F8CABCC" w:rsidR="00AE4212" w:rsidRDefault="00AE4212" w:rsidP="00AE4212">
      <w:pPr>
        <w:pStyle w:val="NormalWeb"/>
        <w:spacing w:before="0" w:beforeAutospacing="0" w:after="0" w:afterAutospacing="0"/>
      </w:pPr>
    </w:p>
    <w:p w14:paraId="32A79D15" w14:textId="77B375A6" w:rsidR="00AE4212" w:rsidRPr="008F7CBA" w:rsidRDefault="00AE4212" w:rsidP="00AE42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F7CBA">
        <w:rPr>
          <w:rFonts w:asciiTheme="minorHAnsi" w:hAnsiTheme="minorHAnsi" w:cstheme="minorHAnsi"/>
        </w:rPr>
        <w:t>So we see that μ = 1/ξ.  So by analogy we expect:</w:t>
      </w:r>
    </w:p>
    <w:p w14:paraId="6EEB2C75" w14:textId="4F156BE8" w:rsidR="00AE4212" w:rsidRDefault="00AE4212" w:rsidP="00AE4212">
      <w:pPr>
        <w:pStyle w:val="NormalWeb"/>
        <w:spacing w:before="0" w:beforeAutospacing="0" w:after="0" w:afterAutospacing="0"/>
      </w:pPr>
    </w:p>
    <w:p w14:paraId="03D9703D" w14:textId="3A85393E" w:rsidR="00AE4212" w:rsidRDefault="00AE4212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  <w:r>
        <w:rPr>
          <w:noProof/>
        </w:rPr>
        <w:drawing>
          <wp:inline distT="0" distB="0" distL="0" distR="0" wp14:anchorId="23F1DEE9" wp14:editId="5F517D08">
            <wp:extent cx="1508760" cy="536713"/>
            <wp:effectExtent l="0" t="0" r="0" b="0"/>
            <wp:docPr id="20" name="Picture 19">
              <a:extLst xmlns:a="http://schemas.openxmlformats.org/drawingml/2006/main">
                <a:ext uri="{FF2B5EF4-FFF2-40B4-BE49-F238E27FC236}">
                  <a16:creationId xmlns:a16="http://schemas.microsoft.com/office/drawing/2014/main" id="{F9B71FB8-C03F-4203-A3C9-D86E430802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>
                      <a:extLst>
                        <a:ext uri="{FF2B5EF4-FFF2-40B4-BE49-F238E27FC236}">
                          <a16:creationId xmlns:a16="http://schemas.microsoft.com/office/drawing/2014/main" id="{F9B71FB8-C03F-4203-A3C9-D86E430802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0865" cy="54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3B336" w14:textId="1DE8EA2F" w:rsidR="00056277" w:rsidRPr="00A43B5A" w:rsidRDefault="00056277" w:rsidP="00255BF4">
      <w:pPr>
        <w:pStyle w:val="NoSpacing"/>
      </w:pPr>
    </w:p>
    <w:p w14:paraId="3ECE9574" w14:textId="5D7FC1CA" w:rsidR="00A43B5A" w:rsidRDefault="00A43B5A" w:rsidP="00255BF4">
      <w:pPr>
        <w:pStyle w:val="NoSpacing"/>
        <w:rPr>
          <w:sz w:val="24"/>
          <w:szCs w:val="24"/>
        </w:rPr>
      </w:pPr>
      <w:r w:rsidRPr="00A43B5A">
        <w:rPr>
          <w:sz w:val="24"/>
          <w:szCs w:val="24"/>
        </w:rPr>
        <w:t xml:space="preserve">Or in </w:t>
      </w:r>
      <w:r>
        <w:rPr>
          <w:sz w:val="24"/>
          <w:szCs w:val="24"/>
        </w:rPr>
        <w:t>other words,</w:t>
      </w:r>
    </w:p>
    <w:p w14:paraId="1CF0E82E" w14:textId="77777777" w:rsidR="00A43B5A" w:rsidRDefault="00A43B5A" w:rsidP="00255BF4">
      <w:pPr>
        <w:pStyle w:val="NoSpacing"/>
        <w:rPr>
          <w:sz w:val="24"/>
          <w:szCs w:val="24"/>
        </w:rPr>
      </w:pPr>
    </w:p>
    <w:p w14:paraId="0791F335" w14:textId="73CE4EA0" w:rsidR="00A43B5A" w:rsidRPr="00A43B5A" w:rsidRDefault="00A43B5A" w:rsidP="00255BF4">
      <w:pPr>
        <w:pStyle w:val="NoSpacing"/>
        <w:rPr>
          <w:sz w:val="24"/>
          <w:szCs w:val="24"/>
        </w:rPr>
      </w:pPr>
      <w:r w:rsidRPr="00A43B5A">
        <w:rPr>
          <w:position w:val="-26"/>
          <w:sz w:val="24"/>
          <w:szCs w:val="24"/>
        </w:rPr>
        <w:object w:dxaOrig="1540" w:dyaOrig="700" w14:anchorId="4A85997E">
          <v:shape id="_x0000_i1042" type="#_x0000_t75" style="width:76.9pt;height:34.9pt" o:ole="" filled="t" fillcolor="#cfc">
            <v:imagedata r:id="rId21" o:title=""/>
          </v:shape>
          <o:OLEObject Type="Embed" ProgID="Equation.DSMT4" ShapeID="_x0000_i1042" DrawAspect="Content" ObjectID="_1797880003" r:id="rId22"/>
        </w:object>
      </w:r>
    </w:p>
    <w:p w14:paraId="6E3E3C38" w14:textId="77777777" w:rsidR="00A43B5A" w:rsidRDefault="00A43B5A" w:rsidP="00255BF4">
      <w:pPr>
        <w:pStyle w:val="NoSpacing"/>
        <w:rPr>
          <w:sz w:val="20"/>
          <w:szCs w:val="20"/>
        </w:rPr>
      </w:pPr>
    </w:p>
    <w:p w14:paraId="3D566F8C" w14:textId="0F9DA2DB" w:rsidR="00056277" w:rsidRPr="00A43B5A" w:rsidRDefault="00056277" w:rsidP="00A43B5A">
      <w:pPr>
        <w:pStyle w:val="NoSpacing"/>
        <w:rPr>
          <w:sz w:val="28"/>
          <w:szCs w:val="28"/>
        </w:rPr>
      </w:pPr>
      <w:r w:rsidRPr="00A43B5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If we use a ladder sum </w:t>
      </w:r>
      <w:r w:rsidR="00AE4212" w:rsidRPr="00A43B5A">
        <w:rPr>
          <w:rFonts w:eastAsiaTheme="minorEastAsia" w:hAnsi="Calibri"/>
          <w:color w:val="000000" w:themeColor="text1"/>
          <w:kern w:val="24"/>
          <w:sz w:val="24"/>
          <w:szCs w:val="24"/>
        </w:rPr>
        <w:t>to calculate the density-density correlation function,</w:t>
      </w:r>
      <w:r w:rsidRPr="00A43B5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</w:t>
      </w:r>
    </w:p>
    <w:p w14:paraId="6248F7B1" w14:textId="380228D3" w:rsidR="00056277" w:rsidRPr="00A43B5A" w:rsidRDefault="00056277" w:rsidP="00255BF4">
      <w:pPr>
        <w:pStyle w:val="NoSpacing"/>
        <w:rPr>
          <w:sz w:val="24"/>
          <w:szCs w:val="24"/>
        </w:rPr>
      </w:pPr>
    </w:p>
    <w:p w14:paraId="45E4EDC2" w14:textId="6A842247" w:rsidR="00056277" w:rsidRDefault="00056277" w:rsidP="00255BF4">
      <w:pPr>
        <w:pStyle w:val="NoSpacing"/>
      </w:pPr>
      <w:r>
        <w:rPr>
          <w:noProof/>
        </w:rPr>
        <w:drawing>
          <wp:inline distT="0" distB="0" distL="0" distR="0" wp14:anchorId="6A23E86A" wp14:editId="7558DA7A">
            <wp:extent cx="5943600" cy="659765"/>
            <wp:effectExtent l="0" t="0" r="0" b="6985"/>
            <wp:docPr id="19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853202E4-FF48-4CD7-A785-C1751C2D7D7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">
                      <a:extLst>
                        <a:ext uri="{FF2B5EF4-FFF2-40B4-BE49-F238E27FC236}">
                          <a16:creationId xmlns:a16="http://schemas.microsoft.com/office/drawing/2014/main" id="{853202E4-FF48-4CD7-A785-C1751C2D7D7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644C6" w14:textId="6CC282EA" w:rsidR="00A7523B" w:rsidRDefault="00A7523B" w:rsidP="00A7523B">
      <w:pPr>
        <w:pStyle w:val="NoSpacing"/>
      </w:pPr>
    </w:p>
    <w:p w14:paraId="2B21BCAE" w14:textId="35F0DF7F" w:rsidR="009644BE" w:rsidRDefault="00AE4212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>and extract D(q,</w:t>
      </w:r>
      <w:r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ω</w:t>
      </w: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), evidently we get the 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</w:rPr>
        <w:t>Drude result: D</w:t>
      </w:r>
      <w:r w:rsidR="00A43B5A">
        <w:rPr>
          <w:rFonts w:eastAsiaTheme="minorEastAsia" w:hAnsi="Calibri"/>
          <w:color w:val="000000" w:themeColor="text1"/>
          <w:kern w:val="24"/>
          <w:sz w:val="24"/>
          <w:szCs w:val="24"/>
        </w:rPr>
        <w:t>(q,</w:t>
      </w:r>
      <w:r w:rsidR="00A43B5A"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ω</w:t>
      </w:r>
      <w:r w:rsidR="00A43B5A">
        <w:rPr>
          <w:rFonts w:eastAsiaTheme="minorEastAsia" w:hAnsi="Calibri"/>
          <w:color w:val="000000" w:themeColor="text1"/>
          <w:kern w:val="24"/>
          <w:sz w:val="24"/>
          <w:szCs w:val="24"/>
        </w:rPr>
        <w:t>)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=</w:t>
      </w:r>
      <w:r w:rsidR="00A43B5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D/(1-i</w:t>
      </w:r>
      <w:r w:rsidR="00A43B5A"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ωτ</w:t>
      </w:r>
      <w:r w:rsidR="00A43B5A">
        <w:rPr>
          <w:rFonts w:eastAsiaTheme="minorEastAsia" w:hAnsi="Calibri"/>
          <w:color w:val="000000" w:themeColor="text1"/>
          <w:kern w:val="24"/>
          <w:sz w:val="24"/>
          <w:szCs w:val="24"/>
        </w:rPr>
        <w:t>), where D =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v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  <w:vertAlign w:val="subscript"/>
        </w:rPr>
        <w:t>F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  <w:vertAlign w:val="superscript"/>
        </w:rPr>
        <w:t>2</w:t>
      </w:r>
      <w:r w:rsidR="009644BE"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τ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</w:rPr>
        <w:t>/d</w:t>
      </w:r>
      <w:r w:rsidR="00A43B5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and 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</w:rPr>
        <w:t>d = dimension I think</w:t>
      </w:r>
      <w:r w:rsidR="00A43B5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.  And, </w:t>
      </w:r>
    </w:p>
    <w:p w14:paraId="44E96497" w14:textId="77777777" w:rsidR="009644BE" w:rsidRDefault="009644BE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14:paraId="4076DD21" w14:textId="5ABC964E" w:rsidR="009644BE" w:rsidRDefault="009644BE" w:rsidP="00A7523B">
      <w:pPr>
        <w:pStyle w:val="NoSpacing"/>
      </w:pPr>
      <w:r w:rsidRPr="00B40B89">
        <w:rPr>
          <w:position w:val="-30"/>
        </w:rPr>
        <w:object w:dxaOrig="3879" w:dyaOrig="720" w14:anchorId="14D64916">
          <v:shape id="_x0000_i1033" type="#_x0000_t75" style="width:194.2pt;height:36pt" o:ole="">
            <v:imagedata r:id="rId24" o:title=""/>
          </v:shape>
          <o:OLEObject Type="Embed" ProgID="Equation.DSMT4" ShapeID="_x0000_i1033" DrawAspect="Content" ObjectID="_1797880004" r:id="rId25"/>
        </w:object>
      </w:r>
      <w:r w:rsidR="00023DAE">
        <w:t xml:space="preserve"> </w:t>
      </w:r>
    </w:p>
    <w:p w14:paraId="4169FF73" w14:textId="77777777" w:rsidR="009644BE" w:rsidRDefault="009644BE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14:paraId="1460BAD6" w14:textId="27E3B0C9" w:rsid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>What does this predict for localization?  That there is none, since:</w:t>
      </w:r>
    </w:p>
    <w:p w14:paraId="10A34766" w14:textId="77777777" w:rsid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14:paraId="2E74538C" w14:textId="55915D34" w:rsid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  <w:r w:rsidRPr="00DB3D7A">
        <w:rPr>
          <w:position w:val="-26"/>
        </w:rPr>
        <w:object w:dxaOrig="3900" w:dyaOrig="700" w14:anchorId="7E992DC8">
          <v:shape id="_x0000_i1040" type="#_x0000_t75" style="width:195.25pt;height:34.9pt" o:ole="">
            <v:imagedata r:id="rId26" o:title=""/>
          </v:shape>
          <o:OLEObject Type="Embed" ProgID="Equation.DSMT4" ShapeID="_x0000_i1040" DrawAspect="Content" ObjectID="_1797880005" r:id="rId27"/>
        </w:object>
      </w:r>
    </w:p>
    <w:p w14:paraId="4D903FE3" w14:textId="77777777" w:rsid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14:paraId="5C816CEA" w14:textId="2D1BA8C4" w:rsid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>This would imply that the long time limit of the behavior of the density is:</w:t>
      </w:r>
    </w:p>
    <w:p w14:paraId="670DE90B" w14:textId="77777777" w:rsid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14:paraId="1F1336B2" w14:textId="5206A21C" w:rsid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  <w:r w:rsidRPr="00A43B5A">
        <w:rPr>
          <w:rFonts w:eastAsiaTheme="minorEastAsia" w:hAnsi="Calibri"/>
          <w:color w:val="000000" w:themeColor="text1"/>
          <w:kern w:val="24"/>
          <w:position w:val="-24"/>
          <w:sz w:val="24"/>
          <w:szCs w:val="24"/>
        </w:rPr>
        <w:object w:dxaOrig="2220" w:dyaOrig="660" w14:anchorId="56C3C900">
          <v:shape id="_x0000_i1047" type="#_x0000_t75" style="width:111.25pt;height:33.25pt" o:ole="">
            <v:imagedata r:id="rId28" o:title=""/>
          </v:shape>
          <o:OLEObject Type="Embed" ProgID="Equation.DSMT4" ShapeID="_x0000_i1047" DrawAspect="Content" ObjectID="_1797880006" r:id="rId29"/>
        </w:object>
      </w:r>
    </w:p>
    <w:p w14:paraId="5C3AB287" w14:textId="77777777" w:rsid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14:paraId="3D1528DA" w14:textId="6CEBC045" w:rsidR="00A43B5A" w:rsidRPr="00A43B5A" w:rsidRDefault="00A43B5A" w:rsidP="00A7523B">
      <w:pPr>
        <w:pStyle w:val="NoSpacing"/>
        <w:rPr>
          <w:rFonts w:eastAsiaTheme="minorEastAsia" w:hAnsi="Calibri"/>
          <w:color w:val="000000" w:themeColor="text1"/>
          <w:kern w:val="24"/>
          <w:sz w:val="28"/>
          <w:szCs w:val="28"/>
        </w:rPr>
      </w:pP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And this is what we expect because </w:t>
      </w:r>
      <w:r w:rsidRPr="00A43B5A">
        <w:rPr>
          <w:rFonts w:eastAsiaTheme="minorEastAsia" w:hAnsi="Calibri"/>
          <w:color w:val="000000" w:themeColor="text1"/>
          <w:kern w:val="24"/>
          <w:sz w:val="24"/>
          <w:szCs w:val="24"/>
        </w:rPr>
        <w:t>in the classical file we solved for n(r) and found it goes as n(r) ~ exp(-r</w:t>
      </w:r>
      <w:r w:rsidRPr="00A43B5A">
        <w:rPr>
          <w:rFonts w:eastAsiaTheme="minorEastAsia" w:hAnsi="Calibri"/>
          <w:color w:val="000000" w:themeColor="text1"/>
          <w:kern w:val="24"/>
          <w:sz w:val="24"/>
          <w:szCs w:val="24"/>
          <w:vertAlign w:val="superscript"/>
        </w:rPr>
        <w:t>2</w:t>
      </w:r>
      <w:r w:rsidRPr="00A43B5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/4Dt)/r, which in the long time limit goes as n(r) ~ 1/r.  But in contrast, if we </w:t>
      </w: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were to have found </w:t>
      </w:r>
      <w:r w:rsidRPr="00A43B5A">
        <w:rPr>
          <w:rFonts w:eastAsiaTheme="minorEastAsia" w:hAnsi="Calibri"/>
          <w:color w:val="000000" w:themeColor="text1"/>
          <w:kern w:val="24"/>
          <w:sz w:val="24"/>
          <w:szCs w:val="24"/>
        </w:rPr>
        <w:t>1/</w:t>
      </w:r>
      <w:r w:rsidRPr="00A43B5A"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ξ</w:t>
      </w:r>
      <w:r w:rsidRPr="00A43B5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to be non-zero, then the density would go as n(r) ~ exp(-</w:t>
      </w:r>
      <w:r w:rsidRPr="00A43B5A"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 xml:space="preserve">r/ξ)/r in the long time limit.  This </w:t>
      </w:r>
      <w:r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 xml:space="preserve">would </w:t>
      </w:r>
      <w:r w:rsidRPr="00A43B5A"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 xml:space="preserve">indicate that the particle has basically stopped diffusing for r &gt; ξ, as it is </w:t>
      </w:r>
      <w:r w:rsidRPr="00A43B5A">
        <w:rPr>
          <w:rFonts w:ascii="Calibri" w:eastAsiaTheme="minorEastAsia" w:hAnsi="Calibri" w:cs="Calibri"/>
          <w:i/>
          <w:color w:val="000000" w:themeColor="text1"/>
          <w:kern w:val="24"/>
          <w:sz w:val="24"/>
          <w:szCs w:val="24"/>
        </w:rPr>
        <w:t>exponentially</w:t>
      </w:r>
      <w:r w:rsidRPr="00A43B5A"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 xml:space="preserve"> damped past r = ξ.  </w:t>
      </w:r>
    </w:p>
    <w:p w14:paraId="1D69294B" w14:textId="2B3C0B35" w:rsidR="00845220" w:rsidRPr="006D530B" w:rsidRDefault="00845220" w:rsidP="00A7523B">
      <w:pPr>
        <w:pStyle w:val="NoSpacing"/>
        <w:rPr>
          <w:rFonts w:cstheme="minorHAnsi"/>
          <w:sz w:val="24"/>
          <w:szCs w:val="24"/>
        </w:rPr>
      </w:pPr>
    </w:p>
    <w:sectPr w:rsidR="00845220" w:rsidRPr="006D5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D7"/>
    <w:rsid w:val="00014063"/>
    <w:rsid w:val="00023DAE"/>
    <w:rsid w:val="00056277"/>
    <w:rsid w:val="00087059"/>
    <w:rsid w:val="000B7577"/>
    <w:rsid w:val="00101CD7"/>
    <w:rsid w:val="0012595D"/>
    <w:rsid w:val="00133166"/>
    <w:rsid w:val="00137135"/>
    <w:rsid w:val="001642C0"/>
    <w:rsid w:val="001855AB"/>
    <w:rsid w:val="00255BF4"/>
    <w:rsid w:val="0027436B"/>
    <w:rsid w:val="00274BEC"/>
    <w:rsid w:val="00287C07"/>
    <w:rsid w:val="00337C45"/>
    <w:rsid w:val="00354234"/>
    <w:rsid w:val="003B2AF0"/>
    <w:rsid w:val="003C1075"/>
    <w:rsid w:val="004349E5"/>
    <w:rsid w:val="00434A71"/>
    <w:rsid w:val="00491EDD"/>
    <w:rsid w:val="004A1EDA"/>
    <w:rsid w:val="004B39D7"/>
    <w:rsid w:val="004E2AEA"/>
    <w:rsid w:val="00581959"/>
    <w:rsid w:val="006B10A8"/>
    <w:rsid w:val="006D530B"/>
    <w:rsid w:val="007452CC"/>
    <w:rsid w:val="007977C2"/>
    <w:rsid w:val="007A7609"/>
    <w:rsid w:val="007B2FFE"/>
    <w:rsid w:val="00845220"/>
    <w:rsid w:val="00847770"/>
    <w:rsid w:val="00871A92"/>
    <w:rsid w:val="00874286"/>
    <w:rsid w:val="008F4027"/>
    <w:rsid w:val="008F7CBA"/>
    <w:rsid w:val="00955FAD"/>
    <w:rsid w:val="009644BE"/>
    <w:rsid w:val="009C3D8A"/>
    <w:rsid w:val="009D5095"/>
    <w:rsid w:val="00A41F4D"/>
    <w:rsid w:val="00A43B5A"/>
    <w:rsid w:val="00A7523B"/>
    <w:rsid w:val="00AE4212"/>
    <w:rsid w:val="00B21444"/>
    <w:rsid w:val="00BD0808"/>
    <w:rsid w:val="00BD7EC7"/>
    <w:rsid w:val="00C37F8D"/>
    <w:rsid w:val="00C47248"/>
    <w:rsid w:val="00CA3817"/>
    <w:rsid w:val="00CF2901"/>
    <w:rsid w:val="00E011D5"/>
    <w:rsid w:val="00E13CA6"/>
    <w:rsid w:val="00E82AEF"/>
    <w:rsid w:val="00E9662D"/>
    <w:rsid w:val="00F70ED3"/>
    <w:rsid w:val="00FA77CE"/>
    <w:rsid w:val="00FB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4D0A2"/>
  <w15:chartTrackingRefBased/>
  <w15:docId w15:val="{01CDFAF0-BC3E-42E8-B539-359E66FF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3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523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05627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B2F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1.emf"/><Relationship Id="rId28" Type="http://schemas.openxmlformats.org/officeDocument/2006/relationships/image" Target="media/image14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30</cp:revision>
  <dcterms:created xsi:type="dcterms:W3CDTF">2019-08-06T01:40:00Z</dcterms:created>
  <dcterms:modified xsi:type="dcterms:W3CDTF">2025-01-09T03:20:00Z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